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附件二：                              首届全国专业技能课程大赛评分标准</w:t>
      </w:r>
    </w:p>
    <w:p>
      <w:pPr>
        <w:rPr>
          <w:rFonts w:ascii="宋体" w:hAnsi="宋体"/>
          <w:b/>
          <w:szCs w:val="21"/>
        </w:rPr>
      </w:pPr>
    </w:p>
    <w:tbl>
      <w:tblPr>
        <w:tblStyle w:val="4"/>
        <w:tblW w:w="15168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2941"/>
        <w:gridCol w:w="1025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一级指标(分值)</w:t>
            </w:r>
          </w:p>
        </w:tc>
        <w:tc>
          <w:tcPr>
            <w:tcW w:w="294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二级指标（分值）</w:t>
            </w:r>
          </w:p>
        </w:tc>
        <w:tc>
          <w:tcPr>
            <w:tcW w:w="1025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指标说明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4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50" w:type="dxa"/>
            <w:vMerge w:val="continue"/>
            <w:shd w:val="clear" w:color="auto" w:fill="auto"/>
            <w:vAlign w:val="center"/>
          </w:tcPr>
          <w:p>
            <w:pPr>
              <w:ind w:firstLine="2108" w:firstLineChars="100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作品规范（10）</w:t>
            </w: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材料完整（4）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材料包含视频、教学设计方案、教学大纲、课程制作中使用的辅助扩展资料、课件、习题等。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技术规范（6）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视频长度1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-1</w:t>
            </w:r>
            <w:r>
              <w:rPr>
                <w:rFonts w:ascii="宋体" w:hAnsi="宋体" w:cs="宋体"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kern w:val="0"/>
                <w:szCs w:val="21"/>
              </w:rPr>
              <w:t>分钟；视频图像清晰稳定、声音清楚，构图合理；主要教学环节配有字幕；文字、符号、单位和公式符合国家标准；方便学习者选择停止和继续播放等。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教学设计（3</w:t>
            </w:r>
            <w:r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选题（</w:t>
            </w:r>
            <w:r>
              <w:rPr>
                <w:rFonts w:ascii="宋体" w:hAnsi="宋体"/>
                <w:szCs w:val="21"/>
              </w:rPr>
              <w:t>9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课程选题需为非通用型、非基础理论型内容，具备行业内较高的实用性；具备一定的市场推广价值，符合大中专院校或职业教育市场需求。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教学目标（4）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教学目标正确，明确，具体，教学思路清晰。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教学内容（7）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教学内容适当，准确，无科学性、政策性错误，能理论联系实际，反映社会和学科发展，能确保教学目标的实现。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学习者（5）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教学目标和教学内容适合学习者的年龄和认知发展水平；根据学习者个性差异有相应处理。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ind w:left="420" w:hanging="420" w:hanging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教学策略（10）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教学顺序、教学活动安排、媒体的选择等适合确定的教学目标、教学内容和学习者特征。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教学实施（25）</w:t>
            </w: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教学呈现（15）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教学导入简短顺畅，促进学生回忆先前知识经验；新内容的呈现能激发学生学习的动机；教学具有启发性，指导性，有助于学生建构或巩固知识，形成能力，建立态度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教学语言、节奏或教态（10）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如有声音，普通话讲解，语言清晰生动，表达能力强；</w:t>
            </w:r>
            <w:r>
              <w:rPr>
                <w:rFonts w:hint="eastAsia" w:ascii="宋体" w:hAnsi="宋体" w:cs="宋体"/>
                <w:kern w:val="0"/>
                <w:szCs w:val="21"/>
              </w:rPr>
              <w:t>如有教师出现，仪表得当，教态亲切自然大方，展现良好教学风貌；</w:t>
            </w:r>
            <w:r>
              <w:rPr>
                <w:rFonts w:hint="eastAsia" w:ascii="宋体" w:hAnsi="宋体"/>
                <w:szCs w:val="21"/>
              </w:rPr>
              <w:t>教学节奏适合学生的学习，具有较强感染力；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restart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技术实现（30）</w:t>
            </w:r>
          </w:p>
        </w:tc>
        <w:tc>
          <w:tcPr>
            <w:tcW w:w="2941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操作与传播展示（15）</w:t>
            </w:r>
          </w:p>
        </w:tc>
        <w:tc>
          <w:tcPr>
            <w:tcW w:w="10250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便于教学演示操作，能够通过网络便捷传播，具有较强的通用性，易于被学习者在各种技术环境下观看（兼容PC、手机和平板电脑等）。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977" w:type="dxa"/>
            <w:vMerge w:val="continue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41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教学视频制作（15）</w:t>
            </w:r>
          </w:p>
        </w:tc>
        <w:tc>
          <w:tcPr>
            <w:tcW w:w="10250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选用的制作软件适当，编辑制作准确，符合通常教学和学习环境的使用；格式的播放器兼容性好，主要应用高清、标清标准；文件量适度。</w:t>
            </w:r>
          </w:p>
        </w:tc>
      </w:tr>
    </w:tbl>
    <w:p>
      <w:pPr>
        <w:jc w:val="center"/>
        <w:rPr>
          <w:rFonts w:ascii="宋体" w:hAnsi="宋体"/>
          <w:b/>
          <w:sz w:val="28"/>
          <w:szCs w:val="28"/>
        </w:rPr>
      </w:pPr>
    </w:p>
    <w:p>
      <w:pPr>
        <w:spacing w:line="440" w:lineRule="exact"/>
        <w:rPr>
          <w:rFonts w:ascii="仿宋_GB2312" w:eastAsia="仿宋_GB2312"/>
          <w:sz w:val="28"/>
          <w:szCs w:val="28"/>
        </w:rPr>
      </w:pPr>
    </w:p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124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lzy</dc:creator>
  <cp:lastModifiedBy>lzy</cp:lastModifiedBy>
  <dcterms:modified xsi:type="dcterms:W3CDTF">2018-09-14T00:59:31Z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